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Agbaku Ranch Business Plan</w:t>
      </w:r>
    </w:p>
    <w:p>
      <w:r>
        <w:t xml:space="preserve">Comprehensive narrative companion to the financial model and sensitivity review.</w:t>
      </w:r>
    </w:p>
    <w:tbl>
      <w:tblPr>
        <w:tblStyle w:val="TableGrid"/>
        <w:tblW w:w="0" w:type="auto"/>
      </w:tblPr>
      <w:tr>
        <w:tc>
          <w:tcPr>
            <w:tcW w:w="4500" w:type="dxa"/>
          </w:tcPr>
          <w:p>
            <w:r>
              <w:t xml:space="preserve">Project Name</w:t>
            </w:r>
          </w:p>
        </w:tc>
        <w:tc>
          <w:tcPr>
            <w:tcW w:w="4500" w:type="dxa"/>
          </w:tcPr>
          <w:p>
            <w:r>
              <w:t xml:space="preserve">Agbaku Cattle Ranch</w:t>
            </w:r>
          </w:p>
        </w:tc>
      </w:tr>
      <w:tr>
        <w:tc>
          <w:tcPr>
            <w:tcW w:w="4500" w:type="dxa"/>
          </w:tcPr>
          <w:p>
            <w:r>
              <w:t xml:space="preserve">Location</w:t>
            </w:r>
          </w:p>
        </w:tc>
        <w:tc>
          <w:tcPr>
            <w:tcW w:w="4500" w:type="dxa"/>
          </w:tcPr>
          <w:p>
            <w:r>
              <w:t xml:space="preserve">Agbaku Village, Moro Local Government Area, near Ilorin, Kwara State, Nigeria</w:t>
            </w:r>
          </w:p>
        </w:tc>
      </w:tr>
      <w:tr>
        <w:tc>
          <w:tcPr>
            <w:tcW w:w="4500" w:type="dxa"/>
          </w:tcPr>
          <w:p>
            <w:r>
              <w:t xml:space="preserve">Business</w:t>
            </w:r>
          </w:p>
        </w:tc>
        <w:tc>
          <w:tcPr>
            <w:tcW w:w="4500" w:type="dxa"/>
          </w:tcPr>
          <w:p>
            <w:r>
              <w:t xml:space="preserve">Integrated dairy ranch, livestock and agro-processing platform</w:t>
            </w:r>
          </w:p>
        </w:tc>
      </w:tr>
      <w:tr>
        <w:tc>
          <w:tcPr>
            <w:tcW w:w="4500" w:type="dxa"/>
          </w:tcPr>
          <w:p>
            <w:r>
              <w:t xml:space="preserve">Initial Loan Request</w:t>
            </w:r>
          </w:p>
        </w:tc>
        <w:tc>
          <w:tcPr>
            <w:tcW w:w="4500" w:type="dxa"/>
          </w:tcPr>
          <w:p>
            <w:r>
              <w:t xml:space="preserve">NGN 275 million</w:t>
            </w:r>
          </w:p>
        </w:tc>
      </w:tr>
      <w:tr>
        <w:tc>
          <w:tcPr>
            <w:tcW w:w="4500" w:type="dxa"/>
          </w:tcPr>
          <w:p>
            <w:r>
              <w:t xml:space="preserve">Sponsor Contribution</w:t>
            </w:r>
          </w:p>
        </w:tc>
        <w:tc>
          <w:tcPr>
            <w:tcW w:w="4500" w:type="dxa"/>
          </w:tcPr>
          <w:p>
            <w:r>
              <w:t xml:space="preserve">NGN 60 million non-cash land equity, representing 120 acres</w:t>
            </w:r>
          </w:p>
        </w:tc>
      </w:tr>
      <w:tr>
        <w:tc>
          <w:tcPr>
            <w:tcW w:w="4500" w:type="dxa"/>
          </w:tcPr>
          <w:p>
            <w:r>
              <w:t xml:space="preserve">Modeled Total Project Funding</w:t>
            </w:r>
          </w:p>
        </w:tc>
        <w:tc>
          <w:tcPr>
            <w:tcW w:w="4500" w:type="dxa"/>
          </w:tcPr>
          <w:p>
            <w:r>
              <w:t xml:space="preserve">NGN 2.833 billion over phased expansion</w:t>
            </w:r>
          </w:p>
        </w:tc>
      </w:tr>
      <w:tr>
        <w:tc>
          <w:tcPr>
            <w:tcW w:w="4500" w:type="dxa"/>
          </w:tcPr>
          <w:p>
            <w:r>
              <w:t xml:space="preserve">Projection Period</w:t>
            </w:r>
          </w:p>
        </w:tc>
        <w:tc>
          <w:tcPr>
            <w:tcW w:w="4500" w:type="dxa"/>
          </w:tcPr>
          <w:p>
            <w:r>
              <w:t xml:space="preserve">10 years</w:t>
            </w:r>
          </w:p>
        </w:tc>
      </w:tr>
      <w:tr>
        <w:tc>
          <w:tcPr>
            <w:tcW w:w="4500" w:type="dxa"/>
          </w:tcPr>
          <w:p>
            <w:r>
              <w:t xml:space="preserve">Modeled Debt Terms</w:t>
            </w:r>
          </w:p>
        </w:tc>
        <w:tc>
          <w:tcPr>
            <w:tcW w:w="4500" w:type="dxa"/>
          </w:tcPr>
          <w:p>
            <w:r>
              <w:t xml:space="preserve">7-year tenor, 13% annual interest, 24-month moratorium</w:t>
            </w:r>
          </w:p>
        </w:tc>
      </w:tr>
      <w:tr>
        <w:tc>
          <w:tcPr>
            <w:tcW w:w="4500" w:type="dxa"/>
          </w:tcPr>
          <w:p>
            <w:r>
              <w:t xml:space="preserve">Year 10 Revenue</w:t>
            </w:r>
          </w:p>
        </w:tc>
        <w:tc>
          <w:tcPr>
            <w:tcW w:w="4500" w:type="dxa"/>
          </w:tcPr>
          <w:p>
            <w:r>
              <w:t xml:space="preserve">Approximately NGN 5.26 billion in the current financial model</w:t>
            </w:r>
          </w:p>
        </w:tc>
      </w:tr>
      <w:tr>
        <w:tc>
          <w:tcPr>
            <w:tcW w:w="4500" w:type="dxa"/>
          </w:tcPr>
          <w:p>
            <w:r>
              <w:t xml:space="preserve">Year 10 Milk Volume</w:t>
            </w:r>
          </w:p>
        </w:tc>
        <w:tc>
          <w:tcPr>
            <w:tcW w:w="4500" w:type="dxa"/>
          </w:tcPr>
          <w:p>
            <w:r>
              <w:t xml:space="preserve">Approximately 1.55 million liters</w:t>
            </w:r>
          </w:p>
        </w:tc>
      </w:tr>
    </w:tbl>
    <w:p>
      <w:pPr>
        <w:pStyle w:val="Heading1"/>
      </w:pPr>
      <w:r>
        <w:t xml:space="preserve">1. Executive Summary</w:t>
      </w:r>
    </w:p>
    <w:p>
      <w:r>
        <w:t xml:space="preserve">Agbaku Cattle Ranch is proposed as an integrated dairy, livestock and agro-processing project located in Agbaku Village, Moro Local Government Area, near Ilorin, Kwara State, Nigeria. The project is designed to combine local milk production, herd development, cold-chain handling, processing infrastructure, beef by-products, manure utilization and crop-linked feed/agronomic activity into a phased agribusiness platform.</w:t>
      </w:r>
    </w:p>
    <w:p>
      <w:r>
        <w:t xml:space="preserve">The initial financing request is NGN 275 million, supported by sponsor land equity valued at NGN 60 million. The broader capital plan totals approximately NGN 2.833 billion over the full phased development plan. The financial model uses a 10-year projection period and assumes a 7-year debt tenor, 13% interest rate and 24-month moratorium.</w:t>
      </w:r>
    </w:p>
    <w:p>
      <w:r>
        <w:t xml:space="preserve">The strategic logic is built around Nigeria’s structural dairy supply gap, Kwara State’s agricultural base, the project’s location near Ilorin, and the opportunity to capture more value by moving from raw/farm-gate milk into chilled, cold-chain and processed dairy channels. The project’s investment case is promising, but highly sensitive to milk price realization, yield performance, feed cost inflation, capex execution, working-capital discipline and processing ramp-up.</w:t>
      </w:r>
    </w:p>
    <w:p>
      <w:pPr>
        <w:pStyle w:val="Heading1"/>
      </w:pPr>
      <w:r>
        <w:t xml:space="preserve">2. Project Location And Strategic Rationale</w:t>
      </w:r>
    </w:p>
    <w:p>
      <w:r>
        <w:t xml:space="preserve">The proposed farm is in Agbaku Village, Moro Local Government Area, near Ilorin, Kwara State, Nigeria. Ilorin offers a practical base for a dairy and livestock platform because it sits within a state that is actively positioning agriculture, livestock and agro-processing as development priorities. Kwara has an agricultural heritage, an existing commercial farming history and state-level interest in livestock modernization.</w:t>
      </w:r>
    </w:p>
    <w:p>
      <w:r>
        <w:t xml:space="preserve">Kwara’s SAPZ program and public-private agriculture agenda provide useful context for the project. The state has promoted agro-processing zones, value addition and agribusiness investment. Public sources also identify cattle ranching and dairy production as potential opportunities for quality milk and meat supply within the state.</w:t>
      </w:r>
    </w:p>
    <w:p>
      <w:r>
        <w:t xml:space="preserve">The site also has logistical advantages from proximity to Ilorin, a state capital with access to urban consumption, labour, services, public institutions, and road connectivity into North Central and South Western demand corridors. These advantages can support milk collection, chilled distribution, input procurement, staff recruitment and buyer engagement.</w:t>
      </w:r>
    </w:p>
    <w:p>
      <w:pPr>
        <w:pStyle w:val="Heading1"/>
      </w:pPr>
      <w:r>
        <w:t xml:space="preserve">3. Market Opportunity</w:t>
      </w:r>
    </w:p>
    <w:p>
      <w:r>
        <w:t xml:space="preserve">Nigeria’s dairy market remains structurally under-supplied by domestic raw milk production. Industry and public reports continue to point to a gap between national dairy demand and local production, with imports of powdered milk and cream playing a major role in meeting industrial and household demand. This creates a long-term opportunity for credible local milk production and processing platforms.</w:t>
      </w:r>
    </w:p>
    <w:p>
      <w:r>
        <w:t xml:space="preserve">The market opportunity is not simply to produce raw milk. The stronger opportunity is to build a controlled supply chain that can improve quality, reduce spoilage, create cold-chain reliability and eventually support processed products. The financial model reflects this progression by distinguishing farm-gate milk, chilled milk, cold-logistics milk and processed milk price stages.</w:t>
      </w:r>
    </w:p>
    <w:p>
      <w:r>
        <w:t xml:space="preserve">The most important market validation question is whether Agbaku can achieve the modeled processed milk price and volume in the later years. This requires evidence from off-take discussions, route-to-market testing, processor/buyer commitments, quality standards, packaging strategy and cold-chain economics.</w:t>
      </w:r>
    </w:p>
    <w:p>
      <w:pPr>
        <w:pStyle w:val="Heading1"/>
      </w:pPr>
      <w:r>
        <w:t xml:space="preserve">4. Target Market Segments</w:t>
      </w:r>
    </w:p>
    <w:p>
      <w:r>
        <w:t xml:space="preserve">Raw and chilled milk buyers: early-stage buyers may include local aggregators, dairy processors, institutional kitchens, hotels, restaurants, bakeries, schools, hospitals and distributors requiring reliable fresh or chilled milk supply.</w:t>
      </w:r>
    </w:p>
    <w:p>
      <w:r>
        <w:t xml:space="preserve">Processed dairy consumers: later-stage markets may include urban households, supermarkets, neighbourhood retail, food-service buyers, cafés, quick-service restaurants and institutional buyers. Product forms could include pasteurized milk, yoghurt, fermented dairy, packaged milk drinks and bulk processed milk for food businesses.</w:t>
      </w:r>
    </w:p>
    <w:p>
      <w:r>
        <w:t xml:space="preserve">Beef and cull animal market: culled cows and young male cattle can support secondary revenue through beef sales. This should be managed carefully so that beef revenue supports the dairy model without distracting from herd productivity.</w:t>
      </w:r>
    </w:p>
    <w:p>
      <w:r>
        <w:t xml:space="preserve">Manure and organic fertilizer users: crop farmers, vegetable growers, estate farms and agro-input distributors may form a market for manure or composted organic fertilizer, unless manure is internally diverted into biogas or soil improvement.</w:t>
      </w:r>
    </w:p>
    <w:p>
      <w:r>
        <w:t xml:space="preserve">Crop and feed linkage: crop acreage in the model provides additional revenue and can also support fodder/feed resilience. The economics should distinguish cash crop sales from internal feed support.</w:t>
      </w:r>
    </w:p>
    <w:p>
      <w:pPr>
        <w:pStyle w:val="Heading1"/>
      </w:pPr>
      <w:r>
        <w:t xml:space="preserve">5. Competitive Analysis</w:t>
      </w:r>
    </w:p>
    <w:p>
      <w:r>
        <w:t xml:space="preserve">Imported milk powder and reconstituted dairy products are major competitors. They benefit from established distribution, shelf stability and processor familiarity, but are exposed to foreign exchange movements, import costs and consumer preference for fresher local products where quality can be assured.</w:t>
      </w:r>
    </w:p>
    <w:p>
      <w:r>
        <w:t xml:space="preserve">Informal and smallholder fresh milk suppliers are another competitive source. They can be low-cost but often face challenges around consistent quality, cold-chain handling, aggregation, traceability, animal health and volume reliability. Agbaku’s opportunity is to differentiate on quality, consistency, traceability and scale.</w:t>
      </w:r>
    </w:p>
    <w:p>
      <w:r>
        <w:t xml:space="preserve">Established commercial farms and processors in Kwara and nearby states represent both competitors and ecosystem partners. Shonga Farms and other commercial agriculture projects show that Kwara has a precedent for larger-scale agribusiness. Agbaku should position itself not only as a producer but as a reliable supply-chain partner that can serve processors, distributors and institutional buyers.</w:t>
      </w:r>
    </w:p>
    <w:p>
      <w:r>
        <w:t xml:space="preserve">Agbaku’s competitive edge should come from integrated production, controlled herd management, planned cold-chain infrastructure, staged processing capability, proximity to Ilorin and Kwara demand, and sensitivity-tested financial discipline. The main disadvantage is execution risk: the project must prove that it can move from farm establishment to processing economics without cost overruns or quality failures.</w:t>
      </w:r>
    </w:p>
    <w:p>
      <w:pPr>
        <w:pStyle w:val="Heading1"/>
      </w:pPr>
      <w:r>
        <w:t xml:space="preserve">6. Products And Revenue Streams</w:t>
      </w:r>
    </w:p>
    <w:p>
      <w:r>
        <w:t xml:space="preserve">Milk: the primary revenue stream. The model currently distinguishes price stages of NGN 1,000/liter farm gate, NGN 1,200/liter chilled milk, NGN 1,500/liter cold-logistics milk and NGN 3,000/liter processed milk. The processed milk stage is the most material value driver.</w:t>
      </w:r>
    </w:p>
    <w:p>
      <w:r>
        <w:t xml:space="preserve">Beef: secondary revenue from cull cows and young males. Beef revenue is modeled using kilogram volumes and annual price assumptions. This revenue should be supported by practical slaughter, handling, quality and sales arrangements.</w:t>
      </w:r>
    </w:p>
    <w:p>
      <w:r>
        <w:t xml:space="preserve">Manure: potential revenue from bagged manure or organic fertilizer. If manure is retained for biogas or soil improvement, the revenue model should be adjusted to avoid double counting.</w:t>
      </w:r>
    </w:p>
    <w:p>
      <w:r>
        <w:t xml:space="preserve">Crops: crop acres provide early revenue and may also support feed strategy. The plan should clarify which crop output is sold externally and which is retained for internal fodder/feed support.</w:t>
      </w:r>
    </w:p>
    <w:p>
      <w:pPr>
        <w:pStyle w:val="Heading1"/>
      </w:pPr>
      <w:r>
        <w:t xml:space="preserve">7. Operating Plan</w:t>
      </w:r>
    </w:p>
    <w:p>
      <w:r>
        <w:t xml:space="preserve">The base production schedule has been preserved from the original supplied figures. Milk liters grow from zero in Year 1 to approximately 1.55 million liters by Year 10. Milking cows reach approximately 255 from Year 8 onward, with modeled yield rising to 20 liters per cow per day by Year 10.</w:t>
      </w:r>
    </w:p>
    <w:p>
      <w:r>
        <w:t xml:space="preserve">Operations will require disciplined herd health, breeding, nutrition, milking hygiene, cold-chain handling, staff supervision, repairs and maintenance, security, power reliability and water availability. The ranch should maintain formal operating procedures for milking, veterinary care, feed rationing, calf management, culling, record keeping and biosecurity.</w:t>
      </w:r>
    </w:p>
    <w:p>
      <w:r>
        <w:t xml:space="preserve">The operating plan should be phased. Phase 1 should focus on land preparation, core ranch infrastructure, livestock acquisition, staff recruitment and base production readiness. Phase 2 should strengthen chilling, logistics, veterinary/reproductive infrastructure, herd management systems and processing capability. Phase 3 should support automation, replacement, upgrades and beef-processing capability.</w:t>
      </w:r>
    </w:p>
    <w:p>
      <w:pPr>
        <w:pStyle w:val="Heading1"/>
      </w:pPr>
      <w:r>
        <w:t xml:space="preserve">8. Capital Outlay</w:t>
      </w:r>
    </w:p>
    <w:p>
      <w:r>
        <w:t xml:space="preserve">The full capital outlay in the model is approximately NGN 2.833 billion. Phase 1 funding is NGN 275 million and covers establishment items such as security posts, containers, CCTV, core fencing/guardhouse/gate, cow barn, silage bunker, utilities infrastructure, tractor and plough, silage maker, seeds, livestock and contingencies.</w:t>
      </w:r>
    </w:p>
    <w:p>
      <w:r>
        <w:t xml:space="preserve">Phase 2 funding totals approximately NGN 1.700 billion and includes refrigerated bulk tank, refrigerated milk truck, rotary milk parlor, veterinary/reproductive/AI barn, fencing, calf/heifer/cow barns, storage containers, slaughter infrastructure, refrigerated containers, biodigester, manure lagoon, manure truck, operations vehicles, generators, herd management system, processing line, solar system, additional land and contingency.</w:t>
      </w:r>
    </w:p>
    <w:p>
      <w:r>
        <w:t xml:space="preserve">Phase 3 funding totals approximately NGN 797.5 million and includes replacement, upgrade and automation, beef processing line and contingency. The capital outlay must be supported by vendor quotations, construction estimates, installation timelines, import/local procurement assumptions and contingency discipline.</w:t>
      </w:r>
    </w:p>
    <w:p>
      <w:pPr>
        <w:pStyle w:val="Heading1"/>
      </w:pPr>
      <w:r>
        <w:t xml:space="preserve">9. Go-To-Market Strategy</w:t>
      </w:r>
    </w:p>
    <w:p>
      <w:r>
        <w:t xml:space="preserve">The commercial strategy should begin with secured off-take for raw or chilled milk before moving into processed milk. Early buyers may include processors, institutional buyers and distributors that can absorb volume while Agbaku proves quality and reliability.</w:t>
      </w:r>
    </w:p>
    <w:p>
      <w:r>
        <w:t xml:space="preserve">As cold-chain and processing assets come online, the business can segment customers into bulk processors, retail distributors, food-service channels, institutional buyers and direct branded product channels. Each segment requires different packaging, logistics, credit terms and quality assurance.</w:t>
      </w:r>
    </w:p>
    <w:p>
      <w:r>
        <w:t xml:space="preserve">The transition to processed milk pricing should be treated as a strategic milestone, not an automatic assumption. It requires processing capacity, regulatory compliance, product quality, packaging, route-to-market partnerships, cold-chain delivery and brand/customer trust.</w:t>
      </w:r>
    </w:p>
    <w:p>
      <w:pPr>
        <w:pStyle w:val="Heading1"/>
      </w:pPr>
      <w:r>
        <w:t xml:space="preserve">10. Management And Staffing</w:t>
      </w:r>
    </w:p>
    <w:p>
      <w:r>
        <w:t xml:space="preserve">The project will require a practical mix of farm management, veterinary/animal health capability, herd supervisors, milking staff, feed/crop personnel, mechanics/maintenance, drivers/logistics staff, security, accounts/admin and sales/customer relationship personnel.</w:t>
      </w:r>
    </w:p>
    <w:p>
      <w:r>
        <w:t xml:space="preserve">Governance should include monthly management accounts, herd performance reporting, milk yield reporting, mortality and morbidity reporting, feed conversion/cost tracking, capex tracking, cash-flow tracking and covenant reporting. For lender confidence, these reports should be standardized early.</w:t>
      </w:r>
    </w:p>
    <w:p>
      <w:pPr>
        <w:pStyle w:val="Heading1"/>
      </w:pPr>
      <w:r>
        <w:t xml:space="preserve">11. Financial Plan And Debt Structure</w:t>
      </w:r>
    </w:p>
    <w:p>
      <w:r>
        <w:t xml:space="preserve">The model is structured with a NGN 275 million initial debt draw and sponsor land equity of NGN 60 million. Land equity is treated as non-cash equity and is not counted as cash funding for capex.</w:t>
      </w:r>
    </w:p>
    <w:p>
      <w:r>
        <w:t xml:space="preserve">The debt schedule has been sculpted so that, after the moratorium, debt service is capped by CFADS divided by the minimum DSCR threshold of 1.20x. This reduces the risk that a scheduled repayment itself creates a covenant breach. Any unpaid balance is carried forward within the tenor logic.</w:t>
      </w:r>
    </w:p>
    <w:p>
      <w:r>
        <w:t xml:space="preserve">The financial plan is most sensitive to processed milk pricing, production volume, feed cost, capex overruns, interest rate shocks and working-capital days. The XLSX and HTML include sensitivity dashboards to test these variables.</w:t>
      </w:r>
    </w:p>
    <w:p>
      <w:pPr>
        <w:pStyle w:val="Heading1"/>
      </w:pPr>
      <w:r>
        <w:t xml:space="preserve">12. Risk Analysis And Mitigation</w:t>
      </w:r>
    </w:p>
    <w:p>
      <w:r>
        <w:t xml:space="preserve">Market price risk: the modeled processed milk price is a major driver. Mitigation requires off-take agreements, market testing, product strategy and staged processing investment.</w:t>
      </w:r>
    </w:p>
    <w:p>
      <w:r>
        <w:t xml:space="preserve">Production risk: yields, fertility, mortality and animal health can materially affect output. Mitigation requires veterinary protocols, feed planning, breeding management, biosecurity, data tracking and experienced operators.</w:t>
      </w:r>
    </w:p>
    <w:p>
      <w:r>
        <w:t xml:space="preserve">Feed cost risk: feed inflation can compress margins. Mitigation includes fodder planning, crop integration, supplier contracts, storage and ration optimization.</w:t>
      </w:r>
    </w:p>
    <w:p>
      <w:r>
        <w:t xml:space="preserve">Capex risk: large later-stage capex can overrun or delay. Mitigation requires quotations, procurement planning, contingency, phased release of capital and project management controls.</w:t>
      </w:r>
    </w:p>
    <w:p>
      <w:r>
        <w:t xml:space="preserve">Working-capital risk: receivables growth can absorb cash. Mitigation requires disciplined credit policy, buyer screening, deposits, shorter payment cycles and collections tracking.</w:t>
      </w:r>
    </w:p>
    <w:p>
      <w:r>
        <w:t xml:space="preserve">Execution risk: the project’s value depends on transitioning from ranch establishment to processing. Mitigation requires milestones, governance, technical partners and lender reporting.</w:t>
      </w:r>
    </w:p>
    <w:p>
      <w:pPr>
        <w:pStyle w:val="Heading1"/>
      </w:pPr>
      <w:r>
        <w:t xml:space="preserve">13. Implementation Roadmap</w:t>
      </w:r>
    </w:p>
    <w:p>
      <w:r>
        <w:t xml:space="preserve">0-6 months: finalize financing, confirm site works, refresh capex quotations, secure livestock procurement plan, recruit core farm team, establish veterinary protocols and confirm initial buyers.</w:t>
      </w:r>
    </w:p>
    <w:p>
      <w:r>
        <w:t xml:space="preserve">6-18 months: complete Phase 1 infrastructure, establish herd operations, begin production readiness, build early crop/feed activity, install monitoring/reporting systems and formalize customer relationships.</w:t>
      </w:r>
    </w:p>
    <w:p>
      <w:r>
        <w:t xml:space="preserve">18-36 months: expand chilled handling and logistics, improve yield, strengthen herd management, develop institutional/bulk customer base and validate processing economics.</w:t>
      </w:r>
    </w:p>
    <w:p>
      <w:r>
        <w:t xml:space="preserve">Years 4-7: execute major Phase 2 and Phase 3 capex only as operating performance and market validation justify expansion. Build processing capacity, automation and beef-processing capability in controlled stages.</w:t>
      </w:r>
    </w:p>
    <w:p>
      <w:pPr>
        <w:pStyle w:val="Heading1"/>
      </w:pPr>
      <w:r>
        <w:t xml:space="preserve">14. Funding Ask And Use Of Funds</w:t>
      </w:r>
    </w:p>
    <w:p>
      <w:r>
        <w:t xml:space="preserve">The initial funding ask is NGN 275 million. The use of funds is tied to Phase 1 establishment infrastructure and livestock acquisition. This first phase should be treated as a proof-of-execution phase that demonstrates site readiness, herd establishment, operating discipline and early commercial traction.</w:t>
      </w:r>
    </w:p>
    <w:p>
      <w:r>
        <w:t xml:space="preserve">Future funding requirements should be released against milestones: verified milk output, customer/off-take evidence, cost performance, capex procurement readiness and compliance with lender covenants.</w:t>
      </w:r>
    </w:p>
    <w:p>
      <w:pPr>
        <w:pStyle w:val="Heading1"/>
      </w:pPr>
      <w:r>
        <w:t xml:space="preserve">15. Conclusion</w:t>
      </w:r>
    </w:p>
    <w:p>
      <w:r>
        <w:t xml:space="preserve">Agbaku Cattle Ranch is a credible agribusiness concept aligned with Nigeria’s dairy supply gap and Kwara State’s agricultural positioning. Its strongest opportunity lies in combining local milk production with cold-chain and processing capabilities. However, its investment case must be validated through careful execution, market proof and disciplined capital deployment.</w:t>
      </w:r>
    </w:p>
    <w:p>
      <w:r>
        <w:t xml:space="preserve">The current model, sensitivity dashboards, CAPEX appendix and business plan provide a stronger platform for lender discussions, investor review and sponsor decision-making. The next step is to convert assumptions into evidence: quotations, off-take commitments, implementation schedules, management structure and operating controls.</w:t>
      </w:r>
    </w:p>
    <w:p>
      <w:pPr>
        <w:pStyle w:val="Heading1"/>
      </w:pPr>
      <w:r>
        <w:t xml:space="preserve">References</w:t>
      </w:r>
    </w:p>
    <w:p>
      <w:r>
        <w:t xml:space="preserve">Kwara SAPZ official site: https://kw.sapz.gov.ng/ - Kwara State is positioning agro-processing infrastructure as a major agricultural development platform.</w:t>
      </w:r>
    </w:p>
    <w:p>
      <w:r>
        <w:t xml:space="preserve">Kwara PPP Bureau - Agriculture: https://pppb.kipa.kw.gov.ng/service/agriculture/ - Kwara highlights fertile/arable land, value addition, and existing commercial agriculture including Shonga Farms.</w:t>
      </w:r>
    </w:p>
    <w:p>
      <w:r>
        <w:t xml:space="preserve">KWASSIP Agriculture &amp; Agribusiness: https://kwassip.kwarastate.gov.ng/agriculture-agribusiness/ - Kwara identifies cattle ranching and dairy production as opportunities for quality milk and meat products.</w:t>
      </w:r>
    </w:p>
    <w:p>
      <w:r>
        <w:t xml:space="preserve">USDA FAS Nigeria Dairy Market Overview 2025: https://apps.fas.usda.gov/newgainapi/api/Report/DownloadReportByFileName?fileName=Overview+of+the+Dairy+Market+and+US+Export+Opportunities_Lagos_Nigeria_NI2025-0012.pdf - USDA notes that Nigeria dairy imports are largely powdered milk and cream, creating opportunities for local dairy supply chains.</w:t>
      </w:r>
    </w:p>
    <w:p>
      <w:r>
        <w:t xml:space="preserve">Standard Times report quoting Federal Livestock Ministry: https://standardtimesng.com/2025/06/02/nigerias-annual-Milk-consumption-hits-1-6-Million-metric-tonnes-but-local-production-only-covers-700000-minister/ - Reported national milk consumption of about 1.6m metric tonnes and local production around 700,000 tonnes, indicating a supply gap.</w:t>
      </w:r>
    </w:p>
    <w:p>
      <w:r>
        <w:t xml:space="preserve">Punch report on Kwara ranching policy pilot: https://punchng.com/fg-selects-kwara-as-pilot-state-for-ranching-policy/ - Kwara was reported as a pilot state for Nigeria’s national ranching policy, supporting the location thesis.</w:t>
      </w:r>
    </w:p>
    <w:sectPr>
      <w:pgSz w:w="12240" w:h="15840"/>
      <w:pgMar w:top="1440" w:right="1440" w:bottom="1440" w:left="1440"/>
    </w:sectPr>
  </w:body>
</w:document>
</file>

<file path=word/styles.xml><?xml version="1.0" encoding="utf-8"?>
<w:styles xmlns:w="http://schemas.openxmlformats.org/wordprocessingml/2006/main">
  <w:style w:type="paragraph" w:default="1" w:styleId="Normal">
    <w:name w:val="Normal"/>
    <w:rPr>
      <w:sz w:val="22"/>
      <w:rFonts w:ascii="Calibri" w:hAnsi="Calibri"/>
    </w:rPr>
  </w:style>
  <w:style w:type="paragraph" w:styleId="Title">
    <w:name w:val="Title"/>
    <w:rPr>
      <w:b/>
      <w:sz w:val="36"/>
      <w:color w:val="173F5F"/>
    </w:rPr>
  </w:style>
  <w:style w:type="paragraph" w:styleId="Heading1">
    <w:name w:val="heading 1"/>
    <w:basedOn w:val="Normal"/>
    <w:pPr>
      <w:spacing w:before="360" w:after="120"/>
    </w:pPr>
    <w:rPr>
      <w:b/>
      <w:sz w:val="28"/>
      <w:color w:val="173F5F"/>
    </w:rPr>
  </w:style>
  <w:style w:type="table" w:styleId="TableGrid">
    <w:name w:val="Table Grid"/>
    <w:tblPr>
      <w:tblBorders>
        <w:top w:val="single" w:sz="4"/>
        <w:left w:val="single" w:sz="4"/>
        <w:bottom w:val="single" w:sz="4"/>
        <w:right w:val="single" w:sz="4"/>
        <w:insideH w:val="single" w:sz="4"/>
        <w:insideV w:val="single" w:sz="4"/>
      </w:tblBorders>
    </w:tbl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Application>Codex</Application>
</Properties>
</file>

<file path=docProps/core.xml><?xml version="1.0" encoding="utf-8"?>
<cp:coreProperties xmlns:cp="http://schemas.openxmlformats.org/package/2006/metadata/core-properties" xmlns:dc="http://purl.org/dc/elements/1.1/" xmlns:dcterms="http://purl.org/dc/terms/" xmlns:xsi="http://www.w3.org/2001/XMLSchema-instance">
  <dc:title>Agbaku Ranch Business Plan</dc:title>
  <dc:creator>Codex</dc:creator>
  <dcterms:created xsi:type="dcterms:W3CDTF">2026-05-31T01:41:58Z</dcterms:created>
  <dcterms:modified xsi:type="dcterms:W3CDTF">2026-05-31T01:41:58Z</dcterms:modified>
</cp:coreProperties>
</file>